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klein"/>
        <w:bidi w:val="0"/>
        <w:jc w:val="left"/>
        <w:rPr/>
      </w:pPr>
      <w:r>
        <w:rPr/>
        <w:t>WILL SWITCH. VOORBEELD: DE GEMEENTE EN ALLE GEGEVENS ZIJN FICTIEF, DE PRODUCTNAMEN ECHT.</w:t>
      </w:r>
    </w:p>
    <w:p>
      <w:pPr>
        <w:pStyle w:val="Heading1"/>
        <w:bidi w:val="0"/>
        <w:jc w:val="left"/>
        <w:rPr/>
      </w:pPr>
      <w:r>
        <w:rPr/>
        <w:t>Werkdocument afhankelijkheid van ICT-leveranciers</w:t>
      </w:r>
    </w:p>
    <w:tbl>
      <w:tblPr>
        <w:tblW w:w="5000" w:type="pct"/>
        <w:jc w:val="left"/>
        <w:tblInd w:w="75" w:type="dxa"/>
        <w:tblLayout w:type="fixed"/>
        <w:tblCellMar>
          <w:top w:w="75" w:type="dxa"/>
          <w:left w:w="75" w:type="dxa"/>
          <w:bottom w:w="75" w:type="dxa"/>
          <w:right w:w="75" w:type="dxa"/>
        </w:tblCellMar>
      </w:tblPr>
      <w:tblGrid>
        <w:gridCol w:w="2949"/>
        <w:gridCol w:w="7589"/>
      </w:tblGrid>
      <w:tr>
        <w:trPr/>
        <w:tc>
          <w:tcPr>
            <w:tcW w:w="2949"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Organisatie</w:t>
            </w:r>
          </w:p>
        </w:tc>
        <w:tc>
          <w:tcPr>
            <w:tcW w:w="7589" w:type="dxa"/>
            <w:tcBorders>
              <w:top w:val="single" w:sz="6" w:space="0" w:color="808080"/>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Gemeente Ravensmeer (fictief), 48.000 inwoners</w:t>
            </w:r>
          </w:p>
        </w:tc>
      </w:tr>
      <w:tr>
        <w:trPr/>
        <w:tc>
          <w:tcPr>
            <w:tcW w:w="2949"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Doel</w:t>
            </w:r>
          </w:p>
        </w:tc>
        <w:tc>
          <w:tcPr>
            <w:tcW w:w="758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Risicoanalyse leveranciersketen, Cyberbeveiligingswet</w:t>
            </w:r>
          </w:p>
        </w:tc>
      </w:tr>
      <w:tr>
        <w:trPr/>
        <w:tc>
          <w:tcPr>
            <w:tcW w:w="2949"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Versie</w:t>
            </w:r>
          </w:p>
        </w:tc>
        <w:tc>
          <w:tcPr>
            <w:tcW w:w="758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Concept 0.1, 1 oktober 2026</w:t>
            </w:r>
          </w:p>
        </w:tc>
      </w:tr>
      <w:tr>
        <w:trPr/>
        <w:tc>
          <w:tcPr>
            <w:tcW w:w="2949"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Status</w:t>
            </w:r>
          </w:p>
        </w:tc>
        <w:tc>
          <w:tcPr>
            <w:tcW w:w="758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Niet vastgesteld. Nog niets gecontroleerd.</w:t>
            </w:r>
          </w:p>
        </w:tc>
      </w:tr>
      <w:tr>
        <w:trPr/>
        <w:tc>
          <w:tcPr>
            <w:tcW w:w="2949"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Bronnen</w:t>
            </w:r>
          </w:p>
        </w:tc>
        <w:tc>
          <w:tcPr>
            <w:tcW w:w="758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Scan door uitvoering en bestuur, aanvullende vragenlijst per systeem</w:t>
            </w:r>
          </w:p>
        </w:tc>
      </w:tr>
      <w:tr>
        <w:trPr/>
        <w:tc>
          <w:tcPr>
            <w:tcW w:w="2949" w:type="dxa"/>
            <w:tcBorders>
              <w:left w:val="single" w:sz="6" w:space="0" w:color="808080"/>
              <w:bottom w:val="single" w:sz="6" w:space="0" w:color="808080"/>
              <w:right w:val="single" w:sz="6" w:space="0" w:color="808080"/>
            </w:tcBorders>
            <w:shd w:fill="E8E3D6" w:val="clear"/>
            <w:vAlign w:val="center"/>
          </w:tcPr>
          <w:p>
            <w:pPr>
              <w:pStyle w:val="TableHeading"/>
              <w:suppressLineNumbers/>
              <w:bidi w:val="0"/>
              <w:jc w:val="left"/>
              <w:rPr/>
            </w:pPr>
            <w:r>
              <w:rPr/>
              <w:t>Bijgewerkt door</w:t>
            </w:r>
          </w:p>
        </w:tc>
        <w:tc>
          <w:tcPr>
            <w:tcW w:w="7589"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r>
    </w:tbl>
    <w:p>
      <w:pPr>
        <w:pStyle w:val="Heading2"/>
        <w:bidi w:val="0"/>
        <w:jc w:val="left"/>
        <w:rPr/>
      </w:pPr>
      <w:r>
        <w:rPr/>
        <w:t>Leeswijzer</w:t>
      </w:r>
    </w:p>
    <w:p>
      <w:pPr>
        <w:pStyle w:val="BodyText"/>
        <w:bidi w:val="0"/>
        <w:jc w:val="left"/>
        <w:rPr/>
      </w:pPr>
      <w:r>
        <w:rPr/>
        <w:t>Dit document is van jullie. Pas het aan, vul het aan en gebruik de onderdelen los. Elke uitspraak heeft een label:</w:t>
      </w:r>
    </w:p>
    <w:tbl>
      <w:tblPr>
        <w:tblW w:w="5000" w:type="pct"/>
        <w:jc w:val="left"/>
        <w:tblInd w:w="75" w:type="dxa"/>
        <w:tblLayout w:type="fixed"/>
        <w:tblCellMar>
          <w:top w:w="75" w:type="dxa"/>
          <w:left w:w="75" w:type="dxa"/>
          <w:bottom w:w="75" w:type="dxa"/>
          <w:right w:w="75" w:type="dxa"/>
        </w:tblCellMar>
      </w:tblPr>
      <w:tblGrid>
        <w:gridCol w:w="2318"/>
        <w:gridCol w:w="8220"/>
      </w:tblGrid>
      <w:tr>
        <w:trPr/>
        <w:tc>
          <w:tcPr>
            <w:tcW w:w="2318"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Gemeld</w:t>
            </w:r>
          </w:p>
        </w:tc>
        <w:tc>
          <w:tcPr>
            <w:tcW w:w="8220" w:type="dxa"/>
            <w:tcBorders>
              <w:top w:val="single" w:sz="6" w:space="0" w:color="808080"/>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Zo opgegeven in de scan of de vragenlijst. Niet gecontroleerd.</w:t>
            </w:r>
          </w:p>
        </w:tc>
      </w:tr>
      <w:tr>
        <w:trPr/>
        <w:tc>
          <w:tcPr>
            <w:tcW w:w="2318"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Nog onbekend</w:t>
            </w:r>
          </w:p>
        </w:tc>
        <w:tc>
          <w:tcPr>
            <w:tcW w:w="82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Hier ontbreekt informatie. Zie de onderzoeksvragen in hoofdstuk 4.</w:t>
            </w:r>
          </w:p>
        </w:tc>
      </w:tr>
      <w:tr>
        <w:trPr/>
        <w:tc>
          <w:tcPr>
            <w:tcW w:w="2318"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Gecontroleerd</w:t>
            </w:r>
          </w:p>
        </w:tc>
        <w:tc>
          <w:tcPr>
            <w:tcW w:w="82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Gezien in een contract, document of test. Noteer welk bewijsstuk.</w:t>
            </w:r>
          </w:p>
        </w:tc>
      </w:tr>
      <w:tr>
        <w:trPr/>
        <w:tc>
          <w:tcPr>
            <w:tcW w:w="2318" w:type="dxa"/>
            <w:tcBorders>
              <w:left w:val="single" w:sz="6" w:space="0" w:color="808080"/>
              <w:bottom w:val="single" w:sz="6" w:space="0" w:color="808080"/>
              <w:right w:val="single" w:sz="6" w:space="0" w:color="808080"/>
            </w:tcBorders>
            <w:shd w:fill="E8E3D6" w:val="clear"/>
            <w:vAlign w:val="center"/>
          </w:tcPr>
          <w:p>
            <w:pPr>
              <w:pStyle w:val="TableHeading"/>
              <w:suppressLineNumbers/>
              <w:bidi w:val="0"/>
              <w:jc w:val="left"/>
              <w:rPr/>
            </w:pPr>
            <w:r>
              <w:rPr/>
              <w:t>Voorgesteld</w:t>
            </w:r>
          </w:p>
        </w:tc>
        <w:tc>
          <w:tcPr>
            <w:tcW w:w="8220"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Moet nog worden besloten.</w:t>
            </w:r>
          </w:p>
        </w:tc>
      </w:tr>
    </w:tbl>
    <w:p>
      <w:pPr>
        <w:pStyle w:val="BodyText"/>
        <w:bidi w:val="0"/>
        <w:jc w:val="left"/>
        <w:rPr/>
      </w:pPr>
      <w:r>
        <w:rPr/>
        <w:t>Dit document is automatisch gemaakt uit jullie antwoorden. Niemand heeft contracten of plannen bekeken. Zodra je iets hebt nagekeken, zet je het label op gecontroleerd en noteer je het bewijsstuk. Gele velden zijn om in te vullen.</w:t>
      </w:r>
    </w:p>
    <w:p>
      <w:pPr>
        <w:pStyle w:val="Heading2"/>
        <w:bidi w:val="0"/>
        <w:jc w:val="left"/>
        <w:rPr/>
      </w:pPr>
      <w:r>
        <w:rPr/>
        <w:t>1. Concepttekst voor de risicoanalyse</w:t>
      </w:r>
    </w:p>
    <w:p>
      <w:pPr>
        <w:pStyle w:val="BodyText"/>
        <w:bidi w:val="0"/>
        <w:jc w:val="left"/>
        <w:rPr/>
      </w:pPr>
      <w:r>
        <w:rPr>
          <w:b/>
        </w:rPr>
        <w:t>Afhankelijkheid van ICT-leveranciers.</w:t>
      </w:r>
      <w:r>
        <w:rPr/>
        <w:t xml:space="preserve"> Concept, stand 1 oktober 2026. Nog niet vastgesteld.</w:t>
      </w:r>
    </w:p>
    <w:p>
      <w:pPr>
        <w:pStyle w:val="Heading3"/>
        <w:bidi w:val="0"/>
        <w:ind w:hanging="0" w:left="240" w:right="240"/>
        <w:jc w:val="left"/>
        <w:rPr/>
      </w:pPr>
      <w:r>
        <w:rPr/>
        <w:t xml:space="preserve">Belangrijkste systemen </w:t>
      </w:r>
      <w:r>
        <w:rPr>
          <w:b/>
          <w:color w:val="7A5A12"/>
        </w:rPr>
        <w:t>(gemeld)</w:t>
      </w:r>
    </w:p>
    <w:p>
      <w:pPr>
        <w:pStyle w:val="BodyText"/>
        <w:bidi w:val="0"/>
        <w:jc w:val="left"/>
        <w:rPr/>
      </w:pPr>
      <w:r>
        <w:rPr/>
        <w:t>De organisatie heeft vier systemen benoemd die het belangrijkst zijn voor het werk: Microsoft 365, Microsoft Azure, het zaaksysteem (Open Zaak) en de geo-informatie (QGIS en GeoServer). Microsoft 365 en Azure komen van één leverancier buiten de EU/EER; een verstoring bij die leverancier raakt beide.</w:t>
      </w:r>
    </w:p>
    <w:p>
      <w:pPr>
        <w:pStyle w:val="Heading3"/>
        <w:bidi w:val="0"/>
        <w:ind w:hanging="0" w:left="240" w:right="240"/>
        <w:jc w:val="left"/>
        <w:rPr/>
      </w:pPr>
      <w:r>
        <w:rPr/>
        <w:t xml:space="preserve">Gevolg en contract per systeem </w:t>
      </w:r>
      <w:r>
        <w:rPr>
          <w:b/>
          <w:color w:val="7A5A12"/>
        </w:rPr>
        <w:t>(gemeld)</w:t>
      </w:r>
    </w:p>
    <w:tbl>
      <w:tblPr>
        <w:tblW w:w="5000" w:type="pct"/>
        <w:jc w:val="left"/>
        <w:tblInd w:w="75" w:type="dxa"/>
        <w:tblLayout w:type="fixed"/>
        <w:tblCellMar>
          <w:top w:w="75" w:type="dxa"/>
          <w:left w:w="75" w:type="dxa"/>
          <w:bottom w:w="75" w:type="dxa"/>
          <w:right w:w="75" w:type="dxa"/>
        </w:tblCellMar>
      </w:tblPr>
      <w:tblGrid>
        <w:gridCol w:w="2318"/>
        <w:gridCol w:w="2741"/>
        <w:gridCol w:w="1896"/>
        <w:gridCol w:w="2108"/>
        <w:gridCol w:w="1475"/>
      </w:tblGrid>
      <w:tr>
        <w:trPr/>
        <w:tc>
          <w:tcPr>
            <w:tcW w:w="2318"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Systeem</w:t>
            </w:r>
          </w:p>
        </w:tc>
        <w:tc>
          <w:tcPr>
            <w:tcW w:w="2741"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Werk dat ervan afhangt</w:t>
            </w:r>
          </w:p>
        </w:tc>
        <w:tc>
          <w:tcPr>
            <w:tcW w:w="1896"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Een week zonder</w:t>
            </w:r>
          </w:p>
        </w:tc>
        <w:tc>
          <w:tcPr>
            <w:tcW w:w="2108"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Contract</w:t>
            </w:r>
          </w:p>
        </w:tc>
        <w:tc>
          <w:tcPr>
            <w:tcW w:w="1475"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Label</w:t>
            </w:r>
          </w:p>
        </w:tc>
      </w:tr>
      <w:tr>
        <w:trPr/>
        <w:tc>
          <w:tcPr>
            <w:tcW w:w="231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Microsoft 365</w:t>
            </w:r>
          </w:p>
        </w:tc>
        <w:tc>
          <w:tcPr>
            <w:tcW w:w="2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Interne bedrijfsvoering; mail en documenten in het contact met inwoners</w:t>
            </w:r>
          </w:p>
        </w:tc>
        <w:tc>
          <w:tcPr>
            <w:tcW w:w="189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Beperkt, met handwerk</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Einddatum onbekend</w:t>
            </w:r>
          </w:p>
        </w:tc>
        <w:tc>
          <w:tcPr>
            <w:tcW w:w="147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Gemeld</w:t>
            </w:r>
          </w:p>
        </w:tc>
      </w:tr>
      <w:tr>
        <w:trPr/>
        <w:tc>
          <w:tcPr>
            <w:tcW w:w="231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Microsoft Azure</w:t>
            </w:r>
          </w:p>
        </w:tc>
        <w:tc>
          <w:tcPr>
            <w:tcW w:w="2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Website en klantcontactsysteem; interne bedrijfsvoering</w:t>
            </w:r>
          </w:p>
        </w:tc>
        <w:tc>
          <w:tcPr>
            <w:tcW w:w="189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Beperkt, met handwerk</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Loopt af op 30 juni 2027; verlenging onbekend</w:t>
            </w:r>
          </w:p>
        </w:tc>
        <w:tc>
          <w:tcPr>
            <w:tcW w:w="147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Gemeld</w:t>
            </w:r>
          </w:p>
        </w:tc>
      </w:tr>
      <w:tr>
        <w:trPr/>
        <w:tc>
          <w:tcPr>
            <w:tcW w:w="231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Zaaksysteem (Open Zaak)</w:t>
            </w:r>
          </w:p>
        </w:tc>
        <w:tc>
          <w:tcPr>
            <w:tcW w:w="2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Vergunningen en handhaving; sociaal domein</w:t>
            </w:r>
          </w:p>
        </w:tc>
        <w:tc>
          <w:tcPr>
            <w:tcW w:w="189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Het werk ligt stil</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Einddatum onbekend</w:t>
            </w:r>
          </w:p>
        </w:tc>
        <w:tc>
          <w:tcPr>
            <w:tcW w:w="147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Gemeld</w:t>
            </w:r>
          </w:p>
        </w:tc>
      </w:tr>
      <w:tr>
        <w:trPr/>
        <w:tc>
          <w:tcPr>
            <w:tcW w:w="2318"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Geo-informatie (QGIS, GeoServer)</w:t>
            </w:r>
          </w:p>
        </w:tc>
        <w:tc>
          <w:tcPr>
            <w:tcW w:w="274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Openbare ruimte; vergunningen en handhaving</w:t>
            </w:r>
          </w:p>
        </w:tc>
        <w:tc>
          <w:tcPr>
            <w:tcW w:w="1896"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Grotendeels door</w:t>
            </w:r>
          </w:p>
        </w:tc>
        <w:tc>
          <w:tcPr>
            <w:tcW w:w="210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Geen contract, eigen beheer</w:t>
            </w:r>
          </w:p>
        </w:tc>
        <w:tc>
          <w:tcPr>
            <w:tcW w:w="1475"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Gemeld</w:t>
            </w:r>
          </w:p>
        </w:tc>
      </w:tr>
    </w:tbl>
    <w:p>
      <w:pPr>
        <w:pStyle w:val="Heading3"/>
        <w:bidi w:val="0"/>
        <w:jc w:val="left"/>
        <w:rPr/>
      </w:pPr>
      <w:r>
        <w:rPr/>
        <w:t>Gecontroleerd</w:t>
      </w:r>
    </w:p>
    <w:p>
      <w:pPr>
        <w:pStyle w:val="BodyText"/>
        <w:bidi w:val="0"/>
        <w:jc w:val="left"/>
        <w:rPr/>
      </w:pPr>
      <w:r>
        <w:rPr/>
        <w:t>Nog niets. Geen van de punten hierboven is getoetst aan een contract of een uitgevoerde test.</w:t>
      </w:r>
    </w:p>
    <w:p>
      <w:pPr>
        <w:pStyle w:val="Heading3"/>
        <w:bidi w:val="0"/>
        <w:ind w:hanging="0" w:left="240" w:right="240"/>
        <w:jc w:val="left"/>
        <w:rPr/>
      </w:pPr>
      <w:r>
        <w:rPr/>
        <w:t xml:space="preserve">Ontbrekende informatie </w:t>
      </w:r>
      <w:r>
        <w:rPr>
          <w:b/>
          <w:color w:val="4A443C"/>
        </w:rPr>
        <w:t>(nog onbekend)</w:t>
      </w:r>
    </w:p>
    <w:p>
      <w:pPr>
        <w:pStyle w:val="BodyText"/>
        <w:numPr>
          <w:ilvl w:val="0"/>
          <w:numId w:val="1"/>
        </w:numPr>
        <w:tabs>
          <w:tab w:val="clear" w:pos="709"/>
          <w:tab w:val="left" w:pos="709" w:leader="none"/>
        </w:tabs>
        <w:bidi w:val="0"/>
        <w:spacing w:before="0" w:after="0"/>
        <w:ind w:hanging="283" w:left="709"/>
        <w:jc w:val="left"/>
        <w:rPr/>
      </w:pPr>
      <w:r>
        <w:rPr/>
        <w:t xml:space="preserve">Einddatum, opzegtermijn en verlengingsregeling van de contracten voor Microsoft 365, Azure en het zaaksysteem. </w:t>
      </w:r>
    </w:p>
    <w:p>
      <w:pPr>
        <w:pStyle w:val="BodyText"/>
        <w:numPr>
          <w:ilvl w:val="0"/>
          <w:numId w:val="1"/>
        </w:numPr>
        <w:tabs>
          <w:tab w:val="clear" w:pos="709"/>
          <w:tab w:val="left" w:pos="709" w:leader="none"/>
        </w:tabs>
        <w:bidi w:val="0"/>
        <w:spacing w:before="0" w:after="0"/>
        <w:ind w:hanging="283" w:left="709"/>
        <w:jc w:val="left"/>
        <w:rPr/>
      </w:pPr>
      <w:r>
        <w:rPr/>
        <w:t xml:space="preserve">Of gegevens uit de belangrijkste systemen volledig terug te halen zijn. </w:t>
      </w:r>
    </w:p>
    <w:p>
      <w:pPr>
        <w:pStyle w:val="BodyText"/>
        <w:numPr>
          <w:ilvl w:val="0"/>
          <w:numId w:val="1"/>
        </w:numPr>
        <w:tabs>
          <w:tab w:val="clear" w:pos="709"/>
          <w:tab w:val="left" w:pos="709" w:leader="none"/>
        </w:tabs>
        <w:bidi w:val="0"/>
        <w:ind w:hanging="283" w:left="709"/>
        <w:jc w:val="left"/>
        <w:rPr/>
      </w:pPr>
      <w:r>
        <w:rPr/>
        <w:t xml:space="preserve">Of de lopende cloudcontracten de overstapbepalingen van de Data Act (Verordening (EU) 2023/2854) bevatten. </w:t>
      </w:r>
    </w:p>
    <w:p>
      <w:pPr>
        <w:pStyle w:val="Heading3"/>
        <w:bidi w:val="0"/>
        <w:ind w:hanging="0" w:left="240" w:right="240"/>
        <w:jc w:val="left"/>
        <w:rPr/>
      </w:pPr>
      <w:r>
        <w:rPr/>
        <w:t xml:space="preserve">Maatregelen </w:t>
      </w:r>
      <w:r>
        <w:rPr>
          <w:b/>
          <w:color w:val="2F5F94"/>
        </w:rPr>
        <w:t>(voorgesteld, nog te besluiten)</w:t>
      </w:r>
    </w:p>
    <w:p>
      <w:pPr>
        <w:pStyle w:val="BodyText"/>
        <w:numPr>
          <w:ilvl w:val="0"/>
          <w:numId w:val="2"/>
        </w:numPr>
        <w:tabs>
          <w:tab w:val="clear" w:pos="709"/>
          <w:tab w:val="left" w:pos="709" w:leader="none"/>
        </w:tabs>
        <w:bidi w:val="0"/>
        <w:spacing w:before="0" w:after="0"/>
        <w:ind w:hanging="283" w:left="709"/>
        <w:jc w:val="left"/>
        <w:rPr/>
      </w:pPr>
      <w:r>
        <w:rPr/>
        <w:t xml:space="preserve">Een verantwoordelijke in de leiding aanwijzen voor de afhankelijkheid van leveranciers, met mandaat. </w:t>
      </w:r>
    </w:p>
    <w:p>
      <w:pPr>
        <w:pStyle w:val="BodyText"/>
        <w:numPr>
          <w:ilvl w:val="0"/>
          <w:numId w:val="2"/>
        </w:numPr>
        <w:tabs>
          <w:tab w:val="clear" w:pos="709"/>
          <w:tab w:val="left" w:pos="709" w:leader="none"/>
        </w:tabs>
        <w:bidi w:val="0"/>
        <w:spacing w:before="0" w:after="0"/>
        <w:ind w:hanging="283" w:left="709"/>
        <w:jc w:val="left"/>
        <w:rPr/>
      </w:pPr>
      <w:r>
        <w:rPr/>
        <w:t xml:space="preserve">Contracteindes, opzegtermijnen en verlengingsregelingen vastleggen in het contractregister. </w:t>
      </w:r>
    </w:p>
    <w:p>
      <w:pPr>
        <w:pStyle w:val="BodyText"/>
        <w:numPr>
          <w:ilvl w:val="0"/>
          <w:numId w:val="2"/>
        </w:numPr>
        <w:tabs>
          <w:tab w:val="clear" w:pos="709"/>
          <w:tab w:val="left" w:pos="709" w:leader="none"/>
        </w:tabs>
        <w:bidi w:val="0"/>
        <w:spacing w:before="0" w:after="0"/>
        <w:ind w:hanging="283" w:left="709"/>
        <w:jc w:val="left"/>
        <w:rPr/>
      </w:pPr>
      <w:r>
        <w:rPr/>
        <w:t xml:space="preserve">Een export van het zaaksysteem testen en het resultaat vastleggen. </w:t>
      </w:r>
    </w:p>
    <w:p>
      <w:pPr>
        <w:pStyle w:val="BodyText"/>
        <w:numPr>
          <w:ilvl w:val="0"/>
          <w:numId w:val="2"/>
        </w:numPr>
        <w:tabs>
          <w:tab w:val="clear" w:pos="709"/>
          <w:tab w:val="left" w:pos="709" w:leader="none"/>
        </w:tabs>
        <w:bidi w:val="0"/>
        <w:spacing w:before="0" w:after="0"/>
        <w:ind w:hanging="283" w:left="709"/>
        <w:jc w:val="left"/>
        <w:rPr/>
      </w:pPr>
      <w:r>
        <w:rPr/>
        <w:t xml:space="preserve">Per belangrijk systeem een wegvalscenario opstellen, te beginnen met het zaaksysteem. </w:t>
      </w:r>
    </w:p>
    <w:p>
      <w:pPr>
        <w:pStyle w:val="BodyText"/>
        <w:numPr>
          <w:ilvl w:val="0"/>
          <w:numId w:val="2"/>
        </w:numPr>
        <w:tabs>
          <w:tab w:val="clear" w:pos="709"/>
          <w:tab w:val="left" w:pos="709" w:leader="none"/>
        </w:tabs>
        <w:bidi w:val="0"/>
        <w:spacing w:before="0" w:after="0"/>
        <w:ind w:hanging="283" w:left="709"/>
        <w:jc w:val="left"/>
        <w:rPr/>
      </w:pPr>
      <w:r>
        <w:rPr/>
        <w:t xml:space="preserve">Uiterlijk 26 november 2026 besluiten over het Azure-contract. </w:t>
      </w:r>
    </w:p>
    <w:p>
      <w:pPr>
        <w:pStyle w:val="BodyText"/>
        <w:numPr>
          <w:ilvl w:val="0"/>
          <w:numId w:val="2"/>
        </w:numPr>
        <w:tabs>
          <w:tab w:val="clear" w:pos="709"/>
          <w:tab w:val="left" w:pos="709" w:leader="none"/>
        </w:tabs>
        <w:bidi w:val="0"/>
        <w:ind w:hanging="283" w:left="709"/>
        <w:jc w:val="left"/>
        <w:rPr/>
      </w:pPr>
      <w:r>
        <w:rPr/>
        <w:t xml:space="preserve">Deze analyse jaarlijks herhalen. </w:t>
      </w:r>
    </w:p>
    <w:p>
      <w:pPr>
        <w:pStyle w:val="BodyTextklein"/>
        <w:bidi w:val="0"/>
        <w:jc w:val="left"/>
        <w:rPr/>
      </w:pPr>
      <w:r>
        <w:rPr/>
        <w:t>Deze tekst is een concept, opgesteld als input voor de risicoanalyse van de leveranciersketen onder de Cyberbeveiligingswet. Het is geen conformiteitsoordeel.</w:t>
      </w:r>
    </w:p>
    <w:p>
      <w:pPr>
        <w:pStyle w:val="Heading2"/>
        <w:bidi w:val="0"/>
        <w:jc w:val="left"/>
        <w:rPr/>
      </w:pPr>
      <w:r>
        <w:rPr/>
        <w:t>2. Concept-beslisnotitie</w:t>
      </w:r>
    </w:p>
    <w:tbl>
      <w:tblPr>
        <w:tblW w:w="5000" w:type="pct"/>
        <w:jc w:val="left"/>
        <w:tblInd w:w="75" w:type="dxa"/>
        <w:tblLayout w:type="fixed"/>
        <w:tblCellMar>
          <w:top w:w="75" w:type="dxa"/>
          <w:left w:w="75" w:type="dxa"/>
          <w:bottom w:w="75" w:type="dxa"/>
          <w:right w:w="75" w:type="dxa"/>
        </w:tblCellMar>
      </w:tblPr>
      <w:tblGrid>
        <w:gridCol w:w="2949"/>
        <w:gridCol w:w="7589"/>
      </w:tblGrid>
      <w:tr>
        <w:trPr/>
        <w:tc>
          <w:tcPr>
            <w:tcW w:w="2949"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Onderwerp</w:t>
            </w:r>
          </w:p>
        </w:tc>
        <w:tc>
          <w:tcPr>
            <w:tcW w:w="7589" w:type="dxa"/>
            <w:tcBorders>
              <w:top w:val="single" w:sz="6" w:space="0" w:color="808080"/>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Afhankelijkheid van ICT-leveranciers</w:t>
            </w:r>
          </w:p>
        </w:tc>
      </w:tr>
      <w:tr>
        <w:trPr/>
        <w:tc>
          <w:tcPr>
            <w:tcW w:w="2949"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Aan</w:t>
            </w:r>
          </w:p>
        </w:tc>
        <w:tc>
          <w:tcPr>
            <w:tcW w:w="7589"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Directie of college …</w:t>
            </w:r>
          </w:p>
        </w:tc>
      </w:tr>
      <w:tr>
        <w:trPr/>
        <w:tc>
          <w:tcPr>
            <w:tcW w:w="2949"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Van</w:t>
            </w:r>
          </w:p>
        </w:tc>
        <w:tc>
          <w:tcPr>
            <w:tcW w:w="7589"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2949" w:type="dxa"/>
            <w:tcBorders>
              <w:left w:val="single" w:sz="6" w:space="0" w:color="808080"/>
              <w:bottom w:val="single" w:sz="6" w:space="0" w:color="808080"/>
              <w:right w:val="single" w:sz="6" w:space="0" w:color="808080"/>
            </w:tcBorders>
            <w:shd w:fill="E8E3D6" w:val="clear"/>
            <w:vAlign w:val="center"/>
          </w:tcPr>
          <w:p>
            <w:pPr>
              <w:pStyle w:val="TableHeading"/>
              <w:suppressLineNumbers/>
              <w:bidi w:val="0"/>
              <w:jc w:val="left"/>
              <w:rPr/>
            </w:pPr>
            <w:r>
              <w:rPr/>
              <w:t>Datum en kenmerk</w:t>
            </w:r>
          </w:p>
        </w:tc>
        <w:tc>
          <w:tcPr>
            <w:tcW w:w="7589"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r>
    </w:tbl>
    <w:p>
      <w:pPr>
        <w:pStyle w:val="Heading3"/>
        <w:bidi w:val="0"/>
        <w:ind w:hanging="0" w:left="240" w:right="240"/>
        <w:jc w:val="left"/>
        <w:rPr/>
      </w:pPr>
      <w:r>
        <w:rPr/>
        <w:t xml:space="preserve">Aanleiding </w:t>
      </w:r>
      <w:r>
        <w:rPr>
          <w:b/>
          <w:color w:val="7A5A12"/>
        </w:rPr>
        <w:t>(gemeld)</w:t>
      </w:r>
    </w:p>
    <w:p>
      <w:pPr>
        <w:pStyle w:val="BodyText"/>
        <w:bidi w:val="0"/>
        <w:jc w:val="left"/>
        <w:rPr/>
      </w:pPr>
      <w:r>
        <w:rPr/>
        <w:t>Ravensmeer heeft in kaart gebracht van welke ICT-leveranciers het werk afhangt. Als het zaaksysteem een week uitvalt, ligt het werk bij vergunningen en het sociaal domein stil. Van twee belangrijke systemen is de einddatum van het contract niet bekend, en het contract voor Microsoft Azure loopt op 30 juni 2027 af. Bestuur en uitvoering hebben op vier van de vijf vragen een verschillend beeld.</w:t>
      </w:r>
    </w:p>
    <w:p>
      <w:pPr>
        <w:pStyle w:val="Heading3"/>
        <w:bidi w:val="0"/>
        <w:ind w:hanging="0" w:left="240" w:right="240"/>
        <w:jc w:val="left"/>
        <w:rPr/>
      </w:pPr>
      <w:r>
        <w:rPr/>
        <w:t xml:space="preserve">Voorgestelde besluiten </w:t>
      </w:r>
      <w:r>
        <w:rPr>
          <w:b/>
          <w:color w:val="2F5F94"/>
        </w:rPr>
        <w:t>(voorgesteld)</w:t>
      </w:r>
    </w:p>
    <w:p>
      <w:pPr>
        <w:pStyle w:val="BodyText"/>
        <w:numPr>
          <w:ilvl w:val="0"/>
          <w:numId w:val="3"/>
        </w:numPr>
        <w:tabs>
          <w:tab w:val="clear" w:pos="709"/>
          <w:tab w:val="left" w:pos="709" w:leader="none"/>
        </w:tabs>
        <w:bidi w:val="0"/>
        <w:spacing w:before="0" w:after="0"/>
        <w:ind w:hanging="283" w:left="709"/>
        <w:jc w:val="left"/>
        <w:rPr/>
      </w:pPr>
      <w:r>
        <w:rPr/>
        <w:t xml:space="preserve">Een verantwoordelijke in de leiding aanwijzen voor de afhankelijkheid van leveranciers, met mandaat om een heronderhandeling of overstap voor te bereiden en het budget daarvoor aan te vragen. </w:t>
      </w:r>
    </w:p>
    <w:p>
      <w:pPr>
        <w:pStyle w:val="BodyText"/>
        <w:numPr>
          <w:ilvl w:val="0"/>
          <w:numId w:val="3"/>
        </w:numPr>
        <w:tabs>
          <w:tab w:val="clear" w:pos="709"/>
          <w:tab w:val="left" w:pos="709" w:leader="none"/>
        </w:tabs>
        <w:bidi w:val="0"/>
        <w:spacing w:before="0" w:after="0"/>
        <w:ind w:hanging="283" w:left="709"/>
        <w:jc w:val="left"/>
        <w:rPr/>
      </w:pPr>
      <w:r>
        <w:rPr/>
        <w:t xml:space="preserve">Opdracht geven om binnen zestig dagen per belangrijk systeem een wegvalscenario op te stellen, te beginnen met het zaaksysteem. </w:t>
      </w:r>
    </w:p>
    <w:p>
      <w:pPr>
        <w:pStyle w:val="BodyText"/>
        <w:numPr>
          <w:ilvl w:val="0"/>
          <w:numId w:val="3"/>
        </w:numPr>
        <w:tabs>
          <w:tab w:val="clear" w:pos="709"/>
          <w:tab w:val="left" w:pos="709" w:leader="none"/>
        </w:tabs>
        <w:bidi w:val="0"/>
        <w:spacing w:before="0" w:after="0"/>
        <w:ind w:hanging="283" w:left="709"/>
        <w:jc w:val="left"/>
        <w:rPr/>
      </w:pPr>
      <w:r>
        <w:rPr/>
        <w:t xml:space="preserve">Uiterlijk 26 november 2026 besluiten of het Azure-contract wordt verlengd met afspraken over overstappen, of opnieuw wordt uitgevraagd. </w:t>
      </w:r>
    </w:p>
    <w:p>
      <w:pPr>
        <w:pStyle w:val="BodyText"/>
        <w:numPr>
          <w:ilvl w:val="0"/>
          <w:numId w:val="3"/>
        </w:numPr>
        <w:tabs>
          <w:tab w:val="clear" w:pos="709"/>
          <w:tab w:val="left" w:pos="709" w:leader="none"/>
        </w:tabs>
        <w:bidi w:val="0"/>
        <w:ind w:hanging="283" w:left="709"/>
        <w:jc w:val="left"/>
        <w:rPr/>
      </w:pPr>
      <w:r>
        <w:rPr/>
        <w:t xml:space="preserve">Deze analyse jaarlijks herhalen. </w:t>
      </w:r>
    </w:p>
    <w:p>
      <w:pPr>
        <w:pStyle w:val="Heading3"/>
        <w:bidi w:val="0"/>
        <w:jc w:val="left"/>
        <w:rPr/>
      </w:pPr>
      <w:r>
        <w:rPr/>
        <w:t>Verantwoordelijken per systeem</w:t>
      </w:r>
    </w:p>
    <w:tbl>
      <w:tblPr>
        <w:tblW w:w="5000" w:type="pct"/>
        <w:jc w:val="left"/>
        <w:tblInd w:w="75" w:type="dxa"/>
        <w:tblLayout w:type="fixed"/>
        <w:tblCellMar>
          <w:top w:w="75" w:type="dxa"/>
          <w:left w:w="75" w:type="dxa"/>
          <w:bottom w:w="75" w:type="dxa"/>
          <w:right w:w="75" w:type="dxa"/>
        </w:tblCellMar>
      </w:tblPr>
      <w:tblGrid>
        <w:gridCol w:w="3161"/>
        <w:gridCol w:w="4215"/>
        <w:gridCol w:w="3162"/>
      </w:tblGrid>
      <w:tr>
        <w:trPr/>
        <w:tc>
          <w:tcPr>
            <w:tcW w:w="3161"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Systeem</w:t>
            </w:r>
          </w:p>
        </w:tc>
        <w:tc>
          <w:tcPr>
            <w:tcW w:w="4215"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Verantwoordelijke (naam, functie)</w:t>
            </w:r>
          </w:p>
        </w:tc>
        <w:tc>
          <w:tcPr>
            <w:tcW w:w="3162"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bidi w:val="0"/>
              <w:ind w:hanging="0" w:left="0" w:right="0"/>
              <w:jc w:val="left"/>
              <w:rPr/>
            </w:pPr>
            <w:r>
              <w:rPr/>
              <w:t xml:space="preserve">Nu </w:t>
            </w:r>
            <w:r>
              <w:rPr>
                <w:b/>
                <w:color w:val="7A5A12"/>
              </w:rPr>
              <w:t>(gemeld)</w:t>
            </w:r>
          </w:p>
        </w:tc>
      </w:tr>
      <w:tr>
        <w:trPr/>
        <w:tc>
          <w:tcPr>
            <w:tcW w:w="316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Microsoft 365</w:t>
            </w:r>
          </w:p>
        </w:tc>
        <w:tc>
          <w:tcPr>
            <w:tcW w:w="421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316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Niet benoemd</w:t>
            </w:r>
          </w:p>
        </w:tc>
      </w:tr>
      <w:tr>
        <w:trPr/>
        <w:tc>
          <w:tcPr>
            <w:tcW w:w="316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Microsoft Azure</w:t>
            </w:r>
          </w:p>
        </w:tc>
        <w:tc>
          <w:tcPr>
            <w:tcW w:w="421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316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Informatiemanager, zonder formeel mandaat</w:t>
            </w:r>
          </w:p>
        </w:tc>
      </w:tr>
      <w:tr>
        <w:trPr/>
        <w:tc>
          <w:tcPr>
            <w:tcW w:w="316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Zaaksysteem</w:t>
            </w:r>
          </w:p>
        </w:tc>
        <w:tc>
          <w:tcPr>
            <w:tcW w:w="421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316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Niet benoemd</w:t>
            </w:r>
          </w:p>
        </w:tc>
      </w:tr>
      <w:tr>
        <w:trPr/>
        <w:tc>
          <w:tcPr>
            <w:tcW w:w="3161"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Geo-informatie</w:t>
            </w:r>
          </w:p>
        </w:tc>
        <w:tc>
          <w:tcPr>
            <w:tcW w:w="4215"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316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Teamleider geo</w:t>
            </w:r>
          </w:p>
        </w:tc>
      </w:tr>
    </w:tbl>
    <w:p>
      <w:pPr>
        <w:pStyle w:val="Heading3"/>
        <w:bidi w:val="0"/>
        <w:jc w:val="left"/>
        <w:rPr/>
      </w:pPr>
      <w:r>
        <w:rPr/>
        <w:t>Overwegingen</w:t>
      </w:r>
    </w:p>
    <w:p>
      <w:pPr>
        <w:pStyle w:val="BodyText"/>
        <w:numPr>
          <w:ilvl w:val="0"/>
          <w:numId w:val="4"/>
        </w:numPr>
        <w:tabs>
          <w:tab w:val="clear" w:pos="709"/>
          <w:tab w:val="left" w:pos="709" w:leader="none"/>
        </w:tabs>
        <w:bidi w:val="0"/>
        <w:spacing w:before="0" w:after="0"/>
        <w:ind w:hanging="283" w:left="709"/>
        <w:jc w:val="left"/>
        <w:rPr/>
      </w:pPr>
      <w:r>
        <w:rPr/>
        <w:t xml:space="preserve">Onder de Cyberbeveiligingswet moet het college de beveiligingsmaatregelen goedkeuren, ook die voor de leveranciersketen (art. 24 Cbw). </w:t>
      </w:r>
    </w:p>
    <w:p>
      <w:pPr>
        <w:pStyle w:val="BodyText"/>
        <w:numPr>
          <w:ilvl w:val="0"/>
          <w:numId w:val="4"/>
        </w:numPr>
        <w:tabs>
          <w:tab w:val="clear" w:pos="709"/>
          <w:tab w:val="left" w:pos="709" w:leader="none"/>
        </w:tabs>
        <w:bidi w:val="0"/>
        <w:spacing w:before="0" w:after="0"/>
        <w:ind w:hanging="283" w:left="709"/>
        <w:jc w:val="left"/>
        <w:rPr/>
      </w:pPr>
      <w:r>
        <w:rPr/>
        <w:t xml:space="preserve">Een Europese aanbesteding kost al snel maanden. Wie na november besluit, heeft weinig ruimte voordat het Azure-contract afloopt. </w:t>
      </w:r>
    </w:p>
    <w:p>
      <w:pPr>
        <w:pStyle w:val="BodyText"/>
        <w:numPr>
          <w:ilvl w:val="0"/>
          <w:numId w:val="4"/>
        </w:numPr>
        <w:tabs>
          <w:tab w:val="clear" w:pos="709"/>
          <w:tab w:val="left" w:pos="709" w:leader="none"/>
        </w:tabs>
        <w:bidi w:val="0"/>
        <w:ind w:hanging="283" w:left="709"/>
        <w:jc w:val="left"/>
        <w:rPr/>
      </w:pPr>
      <w:r>
        <w:rPr/>
        <w:t xml:space="preserve">Vanaf 12 januari 2027 mag een cloudleverancier geen overstapkosten meer rekenen. Dat versterkt de positie bij een verlenging. </w:t>
      </w:r>
    </w:p>
    <w:tbl>
      <w:tblPr>
        <w:tblW w:w="5000" w:type="pct"/>
        <w:jc w:val="left"/>
        <w:tblInd w:w="75" w:type="dxa"/>
        <w:tblLayout w:type="fixed"/>
        <w:tblCellMar>
          <w:top w:w="75" w:type="dxa"/>
          <w:left w:w="75" w:type="dxa"/>
          <w:bottom w:w="75" w:type="dxa"/>
          <w:right w:w="75" w:type="dxa"/>
        </w:tblCellMar>
      </w:tblPr>
      <w:tblGrid>
        <w:gridCol w:w="2951"/>
        <w:gridCol w:w="7587"/>
      </w:tblGrid>
      <w:tr>
        <w:trPr/>
        <w:tc>
          <w:tcPr>
            <w:tcW w:w="2951"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Financiële gevolgen</w:t>
            </w:r>
          </w:p>
        </w:tc>
        <w:tc>
          <w:tcPr>
            <w:tcW w:w="7587" w:type="dxa"/>
            <w:tcBorders>
              <w:top w:val="single" w:sz="6" w:space="0" w:color="808080"/>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2951" w:type="dxa"/>
            <w:tcBorders>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Capaciteit</w:t>
            </w:r>
          </w:p>
        </w:tc>
        <w:tc>
          <w:tcPr>
            <w:tcW w:w="7587"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2951" w:type="dxa"/>
            <w:tcBorders>
              <w:left w:val="single" w:sz="6" w:space="0" w:color="808080"/>
              <w:bottom w:val="single" w:sz="6" w:space="0" w:color="808080"/>
              <w:right w:val="single" w:sz="6" w:space="0" w:color="808080"/>
            </w:tcBorders>
            <w:shd w:fill="E8E3D6" w:val="clear"/>
            <w:vAlign w:val="center"/>
          </w:tcPr>
          <w:p>
            <w:pPr>
              <w:pStyle w:val="TableHeading"/>
              <w:suppressLineNumbers/>
              <w:bidi w:val="0"/>
              <w:jc w:val="left"/>
              <w:rPr/>
            </w:pPr>
            <w:r>
              <w:rPr/>
              <w:t>Risico als niet wordt besloten</w:t>
            </w:r>
          </w:p>
        </w:tc>
        <w:tc>
          <w:tcPr>
            <w:tcW w:w="7587"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Het Azure-contract wordt verlengd op de voorwaarden van de leverancier, en uitval van het zaaksysteem blijft onvoorbereid.</w:t>
            </w:r>
          </w:p>
        </w:tc>
      </w:tr>
    </w:tbl>
    <w:p>
      <w:pPr>
        <w:pStyle w:val="Heading2"/>
        <w:bidi w:val="0"/>
        <w:jc w:val="left"/>
        <w:rPr/>
      </w:pPr>
      <w:r>
        <w:rPr/>
        <w:t>3. Actielijst</w:t>
      </w:r>
    </w:p>
    <w:p>
      <w:pPr>
        <w:pStyle w:val="BodyText"/>
        <w:bidi w:val="0"/>
        <w:jc w:val="left"/>
        <w:rPr/>
      </w:pPr>
      <w:r>
        <w:rPr/>
        <w:t>Alle acties zijn voorstellen. Een actie is pas afgerond als het bewijsstuk er is.</w:t>
      </w:r>
    </w:p>
    <w:tbl>
      <w:tblPr>
        <w:tblW w:w="5000" w:type="pct"/>
        <w:jc w:val="left"/>
        <w:tblInd w:w="60" w:type="dxa"/>
        <w:tblLayout w:type="fixed"/>
        <w:tblCellMar>
          <w:top w:w="60" w:type="dxa"/>
          <w:left w:w="60" w:type="dxa"/>
          <w:bottom w:w="60" w:type="dxa"/>
          <w:right w:w="60" w:type="dxa"/>
        </w:tblCellMar>
      </w:tblPr>
      <w:tblGrid>
        <w:gridCol w:w="421"/>
        <w:gridCol w:w="2951"/>
        <w:gridCol w:w="1791"/>
        <w:gridCol w:w="1159"/>
        <w:gridCol w:w="2108"/>
        <w:gridCol w:w="2108"/>
      </w:tblGrid>
      <w:tr>
        <w:trPr/>
        <w:tc>
          <w:tcPr>
            <w:tcW w:w="421"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Nr</w:t>
            </w:r>
          </w:p>
        </w:tc>
        <w:tc>
          <w:tcPr>
            <w:tcW w:w="2951"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Actie</w:t>
            </w:r>
          </w:p>
        </w:tc>
        <w:tc>
          <w:tcPr>
            <w:tcW w:w="1791"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Voorgestelde verantwoordelijke</w:t>
            </w:r>
          </w:p>
        </w:tc>
        <w:tc>
          <w:tcPr>
            <w:tcW w:w="1159"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Termijn</w:t>
            </w:r>
          </w:p>
        </w:tc>
        <w:tc>
          <w:tcPr>
            <w:tcW w:w="2108"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Bewijsstuk</w:t>
            </w:r>
          </w:p>
        </w:tc>
        <w:tc>
          <w:tcPr>
            <w:tcW w:w="2108"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Status</w:t>
            </w:r>
          </w:p>
        </w:tc>
      </w:tr>
      <w:tr>
        <w:trPr/>
        <w:tc>
          <w:tcPr>
            <w:tcW w:w="42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1</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Einddatum, opzegtermijn en verlengingsregeling van alle vier systemen ophalen</w:t>
            </w:r>
          </w:p>
        </w:tc>
        <w:tc>
          <w:tcPr>
            <w:tcW w:w="179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Inkoop</w:t>
            </w:r>
          </w:p>
        </w:tc>
        <w:tc>
          <w:tcPr>
            <w:tcW w:w="11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15-10-2026</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Bijgewerkt contractregister</w:t>
            </w:r>
          </w:p>
        </w:tc>
        <w:tc>
          <w:tcPr>
            <w:tcW w:w="210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Open</w:t>
            </w:r>
          </w:p>
        </w:tc>
      </w:tr>
      <w:tr>
        <w:trPr/>
        <w:tc>
          <w:tcPr>
            <w:tcW w:w="42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2</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Verantwoordelijke in de leiding aanwijzen</w:t>
            </w:r>
          </w:p>
        </w:tc>
        <w:tc>
          <w:tcPr>
            <w:tcW w:w="179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Gemeentesecretaris</w:t>
            </w:r>
          </w:p>
        </w:tc>
        <w:tc>
          <w:tcPr>
            <w:tcW w:w="11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29-10-2026</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Besluit</w:t>
            </w:r>
          </w:p>
        </w:tc>
        <w:tc>
          <w:tcPr>
            <w:tcW w:w="210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Open</w:t>
            </w:r>
          </w:p>
        </w:tc>
      </w:tr>
      <w:tr>
        <w:trPr/>
        <w:tc>
          <w:tcPr>
            <w:tcW w:w="42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3</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Export van het zaaksysteem testen in een testomgeving</w:t>
            </w:r>
          </w:p>
        </w:tc>
        <w:tc>
          <w:tcPr>
            <w:tcW w:w="179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Informatiemanager, met de beheerder</w:t>
            </w:r>
          </w:p>
        </w:tc>
        <w:tc>
          <w:tcPr>
            <w:tcW w:w="11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12-11-2026</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Testverslag, met wat ontbrak</w:t>
            </w:r>
          </w:p>
        </w:tc>
        <w:tc>
          <w:tcPr>
            <w:tcW w:w="210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Open</w:t>
            </w:r>
          </w:p>
        </w:tc>
      </w:tr>
      <w:tr>
        <w:trPr/>
        <w:tc>
          <w:tcPr>
            <w:tcW w:w="42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4</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Wegvalscenario zaaksysteem op één A4</w:t>
            </w:r>
          </w:p>
        </w:tc>
        <w:tc>
          <w:tcPr>
            <w:tcW w:w="179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Teamleiders vergunningen en sociaal domein, met de informatiemanager</w:t>
            </w:r>
          </w:p>
        </w:tc>
        <w:tc>
          <w:tcPr>
            <w:tcW w:w="11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12-11-2026</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Vastgesteld scenario</w:t>
            </w:r>
          </w:p>
        </w:tc>
        <w:tc>
          <w:tcPr>
            <w:tcW w:w="210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Open</w:t>
            </w:r>
          </w:p>
        </w:tc>
      </w:tr>
      <w:tr>
        <w:trPr/>
        <w:tc>
          <w:tcPr>
            <w:tcW w:w="42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5</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Contracten voor Microsoft 365 en Azure naast de afspraken in hoofdstuk 6 leggen</w:t>
            </w:r>
          </w:p>
        </w:tc>
        <w:tc>
          <w:tcPr>
            <w:tcW w:w="179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Inkoopjurist</w:t>
            </w:r>
          </w:p>
        </w:tc>
        <w:tc>
          <w:tcPr>
            <w:tcW w:w="11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19-11-2026</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Notitie met de verschillen</w:t>
            </w:r>
          </w:p>
        </w:tc>
        <w:tc>
          <w:tcPr>
            <w:tcW w:w="210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Open</w:t>
            </w:r>
          </w:p>
        </w:tc>
      </w:tr>
      <w:tr>
        <w:trPr/>
        <w:tc>
          <w:tcPr>
            <w:tcW w:w="42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6</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Besluit over Azure: verlengen met afspraken of opnieuw uitvragen</w:t>
            </w:r>
          </w:p>
        </w:tc>
        <w:tc>
          <w:tcPr>
            <w:tcW w:w="179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Directie, voorbereid door inkoop</w:t>
            </w:r>
          </w:p>
        </w:tc>
        <w:tc>
          <w:tcPr>
            <w:tcW w:w="11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26-11-2026</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Besluit</w:t>
            </w:r>
          </w:p>
        </w:tc>
        <w:tc>
          <w:tcPr>
            <w:tcW w:w="210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Open</w:t>
            </w:r>
          </w:p>
        </w:tc>
      </w:tr>
      <w:tr>
        <w:trPr/>
        <w:tc>
          <w:tcPr>
            <w:tcW w:w="42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7</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Scan opnieuw doen, bestuur en uitvoering apart</w:t>
            </w:r>
          </w:p>
        </w:tc>
        <w:tc>
          <w:tcPr>
            <w:tcW w:w="179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Informatiemanager</w:t>
            </w:r>
          </w:p>
        </w:tc>
        <w:tc>
          <w:tcPr>
            <w:tcW w:w="11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07-01-2027</w:t>
            </w:r>
          </w:p>
        </w:tc>
        <w:tc>
          <w:tcPr>
            <w:tcW w:w="210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Nieuwe uitkomst</w:t>
            </w:r>
          </w:p>
        </w:tc>
        <w:tc>
          <w:tcPr>
            <w:tcW w:w="210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Open</w:t>
            </w:r>
          </w:p>
        </w:tc>
      </w:tr>
      <w:tr>
        <w:trPr/>
        <w:tc>
          <w:tcPr>
            <w:tcW w:w="421"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8</w:t>
            </w:r>
          </w:p>
        </w:tc>
        <w:tc>
          <w:tcPr>
            <w:tcW w:w="2951"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791"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159"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108"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108"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r>
    </w:tbl>
    <w:p>
      <w:pPr>
        <w:pStyle w:val="Heading2"/>
        <w:bidi w:val="0"/>
        <w:jc w:val="left"/>
        <w:rPr/>
      </w:pPr>
      <w:r>
        <w:rPr/>
        <w:t>4. Onderzoeksvragen</w:t>
      </w:r>
    </w:p>
    <w:p>
      <w:pPr>
        <w:pStyle w:val="BodyText"/>
        <w:bidi w:val="0"/>
        <w:jc w:val="left"/>
        <w:rPr/>
      </w:pPr>
      <w:r>
        <w:rPr/>
        <w:t>Wat nu onbekend is. Vul in wie het weet, wat het antwoord is en waar het staat. Met een bron verandert het label van gemeld naar gecontroleerd.</w:t>
      </w:r>
    </w:p>
    <w:tbl>
      <w:tblPr>
        <w:tblW w:w="5000" w:type="pct"/>
        <w:jc w:val="left"/>
        <w:tblInd w:w="60" w:type="dxa"/>
        <w:tblLayout w:type="fixed"/>
        <w:tblCellMar>
          <w:top w:w="60" w:type="dxa"/>
          <w:left w:w="60" w:type="dxa"/>
          <w:bottom w:w="60" w:type="dxa"/>
          <w:right w:w="60" w:type="dxa"/>
        </w:tblCellMar>
      </w:tblPr>
      <w:tblGrid>
        <w:gridCol w:w="1580"/>
        <w:gridCol w:w="3268"/>
        <w:gridCol w:w="1581"/>
        <w:gridCol w:w="2318"/>
        <w:gridCol w:w="1791"/>
      </w:tblGrid>
      <w:tr>
        <w:trPr/>
        <w:tc>
          <w:tcPr>
            <w:tcW w:w="1580"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Systeem</w:t>
            </w:r>
          </w:p>
        </w:tc>
        <w:tc>
          <w:tcPr>
            <w:tcW w:w="3268"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Vraag</w:t>
            </w:r>
          </w:p>
        </w:tc>
        <w:tc>
          <w:tcPr>
            <w:tcW w:w="1581"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Wie weet het?</w:t>
            </w:r>
          </w:p>
        </w:tc>
        <w:tc>
          <w:tcPr>
            <w:tcW w:w="2318"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Antwoord</w:t>
            </w:r>
          </w:p>
        </w:tc>
        <w:tc>
          <w:tcPr>
            <w:tcW w:w="1791"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Bron of bewijsstuk</w:t>
            </w:r>
          </w:p>
        </w:tc>
      </w:tr>
      <w:tr>
        <w:trPr/>
        <w:tc>
          <w:tcPr>
            <w:tcW w:w="158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Microsoft 365</w:t>
            </w:r>
          </w:p>
        </w:tc>
        <w:tc>
          <w:tcPr>
            <w:tcW w:w="326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Wie heeft de licentieovereenkomst, en wanneer loopt die af?</w:t>
            </w:r>
          </w:p>
        </w:tc>
        <w:tc>
          <w:tcPr>
            <w:tcW w:w="158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31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79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158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Microsoft 365</w:t>
            </w:r>
          </w:p>
        </w:tc>
        <w:tc>
          <w:tcPr>
            <w:tcW w:w="326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Wat is de contractwaarde, en moet een overstap Europees worden aanbesteed?</w:t>
            </w:r>
          </w:p>
        </w:tc>
        <w:tc>
          <w:tcPr>
            <w:tcW w:w="158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31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79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158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Microsoft Azure</w:t>
            </w:r>
          </w:p>
        </w:tc>
        <w:tc>
          <w:tcPr>
            <w:tcW w:w="326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Klopt de einddatum van 30 juni 2027 volgens het contract?</w:t>
            </w:r>
          </w:p>
        </w:tc>
        <w:tc>
          <w:tcPr>
            <w:tcW w:w="158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31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79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158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Microsoft Azure</w:t>
            </w:r>
          </w:p>
        </w:tc>
        <w:tc>
          <w:tcPr>
            <w:tcW w:w="326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Verlengt het contract automatisch, en zo ja, met welke termijn?</w:t>
            </w:r>
          </w:p>
        </w:tc>
        <w:tc>
          <w:tcPr>
            <w:tcW w:w="158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31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79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158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Zaaksysteem</w:t>
            </w:r>
          </w:p>
        </w:tc>
        <w:tc>
          <w:tcPr>
            <w:tcW w:w="326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Wanneer loopt het hostingcontract af, en wat staat erin over overdracht aan een andere partij?</w:t>
            </w:r>
          </w:p>
        </w:tc>
        <w:tc>
          <w:tcPr>
            <w:tcW w:w="158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31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79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158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Geo-informatie</w:t>
            </w:r>
          </w:p>
        </w:tc>
        <w:tc>
          <w:tcPr>
            <w:tcW w:w="326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Wanneer is de export voor het laatst teruggezet, en waar staat het verslag?</w:t>
            </w:r>
          </w:p>
        </w:tc>
        <w:tc>
          <w:tcPr>
            <w:tcW w:w="158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318"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791"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1580"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Alle cloudcontracten</w:t>
            </w:r>
          </w:p>
        </w:tc>
        <w:tc>
          <w:tcPr>
            <w:tcW w:w="326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Staan de overstapbepalingen van de Data Act erin?</w:t>
            </w:r>
          </w:p>
        </w:tc>
        <w:tc>
          <w:tcPr>
            <w:tcW w:w="1581"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2318"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c>
          <w:tcPr>
            <w:tcW w:w="1791"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r>
    </w:tbl>
    <w:p>
      <w:pPr>
        <w:pStyle w:val="Heading2"/>
        <w:bidi w:val="0"/>
        <w:jc w:val="left"/>
        <w:rPr/>
      </w:pPr>
      <w:r>
        <w:rPr/>
        <w:t>5. Gespreksagenda bestuur en uitvoering</w:t>
      </w:r>
    </w:p>
    <w:p>
      <w:pPr>
        <w:pStyle w:val="BodyText"/>
        <w:bidi w:val="0"/>
        <w:jc w:val="left"/>
        <w:rPr/>
      </w:pPr>
      <w:r>
        <w:rPr/>
        <w:t>Bestuur en uitvoering deden de scan los van elkaar. Op deze vier vragen liepen de antwoorden uiteen. Gelijk beantwoord: of een export ooit is getest (beide nee).</w:t>
      </w:r>
    </w:p>
    <w:tbl>
      <w:tblPr>
        <w:tblW w:w="5000" w:type="pct"/>
        <w:jc w:val="left"/>
        <w:tblInd w:w="60" w:type="dxa"/>
        <w:tblLayout w:type="fixed"/>
        <w:tblCellMar>
          <w:top w:w="60" w:type="dxa"/>
          <w:left w:w="60" w:type="dxa"/>
          <w:bottom w:w="60" w:type="dxa"/>
          <w:right w:w="60" w:type="dxa"/>
        </w:tblCellMar>
      </w:tblPr>
      <w:tblGrid>
        <w:gridCol w:w="2846"/>
        <w:gridCol w:w="948"/>
        <w:gridCol w:w="1158"/>
        <w:gridCol w:w="2951"/>
        <w:gridCol w:w="2635"/>
      </w:tblGrid>
      <w:tr>
        <w:trPr/>
        <w:tc>
          <w:tcPr>
            <w:tcW w:w="2846"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Vraag</w:t>
            </w:r>
          </w:p>
        </w:tc>
        <w:tc>
          <w:tcPr>
            <w:tcW w:w="948"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Bestuur</w:t>
            </w:r>
          </w:p>
        </w:tc>
        <w:tc>
          <w:tcPr>
            <w:tcW w:w="1158"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Uitvoering</w:t>
            </w:r>
          </w:p>
        </w:tc>
        <w:tc>
          <w:tcPr>
            <w:tcW w:w="2951"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Vraag voor het gesprek</w:t>
            </w:r>
          </w:p>
        </w:tc>
        <w:tc>
          <w:tcPr>
            <w:tcW w:w="2635"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Uitkomst</w:t>
            </w:r>
          </w:p>
        </w:tc>
      </w:tr>
      <w:tr>
        <w:trPr/>
        <w:tc>
          <w:tcPr>
            <w:tcW w:w="284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Is er iemand in de leiding verantwoordelijk, met mandaat?</w:t>
            </w:r>
          </w:p>
        </w:tc>
        <w:tc>
          <w:tcPr>
            <w:tcW w:w="94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Ja</w:t>
            </w:r>
          </w:p>
        </w:tc>
        <w:tc>
          <w:tcPr>
            <w:tcW w:w="1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Deels</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Wie is volgens ieder van jullie de eigenaar, en heeft die ook mandaat?</w:t>
            </w:r>
          </w:p>
        </w:tc>
        <w:tc>
          <w:tcPr>
            <w:tcW w:w="263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284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Is per belangrijke leverancier vastgelegd wat er gebeurt als die stopt?</w:t>
            </w:r>
          </w:p>
        </w:tc>
        <w:tc>
          <w:tcPr>
            <w:tcW w:w="94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Deels</w:t>
            </w:r>
          </w:p>
        </w:tc>
        <w:tc>
          <w:tcPr>
            <w:tcW w:w="1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Nee</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Waar liggen die scenario's, en voor welke leveranciers?</w:t>
            </w:r>
          </w:p>
        </w:tc>
        <w:tc>
          <w:tcPr>
            <w:tcW w:w="263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284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Is bekend wat de contracten zeggen over opzeggen, verlengen en overstappen?</w:t>
            </w:r>
          </w:p>
        </w:tc>
        <w:tc>
          <w:tcPr>
            <w:tcW w:w="94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Ja</w:t>
            </w:r>
          </w:p>
        </w:tc>
        <w:tc>
          <w:tcPr>
            <w:tcW w:w="1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Weet ik niet</w:t>
            </w:r>
          </w:p>
        </w:tc>
        <w:tc>
          <w:tcPr>
            <w:tcW w:w="29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Wie heeft de contracten hierop gelezen, en waar staat dat?</w:t>
            </w:r>
          </w:p>
        </w:tc>
        <w:tc>
          <w:tcPr>
            <w:tcW w:w="2635" w:type="dxa"/>
            <w:tcBorders>
              <w:left w:val="single" w:sz="2" w:space="0" w:color="808080"/>
              <w:bottom w:val="single" w:sz="2" w:space="0" w:color="808080"/>
              <w:right w:val="single" w:sz="6" w:space="0" w:color="808080"/>
            </w:tcBorders>
            <w:shd w:fill="FFF6E0" w:val="clear"/>
            <w:vAlign w:val="center"/>
          </w:tcPr>
          <w:p>
            <w:pPr>
              <w:pStyle w:val="TableContents"/>
              <w:widowControl w:val="false"/>
              <w:suppressLineNumbers/>
              <w:bidi w:val="0"/>
              <w:jc w:val="left"/>
              <w:rPr/>
            </w:pPr>
            <w:r>
              <w:rPr/>
              <w:t>…</w:t>
            </w:r>
          </w:p>
        </w:tc>
      </w:tr>
      <w:tr>
        <w:trPr/>
        <w:tc>
          <w:tcPr>
            <w:tcW w:w="2846"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Is voor een belangrijk systeem ooit een alternatief verkend?</w:t>
            </w:r>
          </w:p>
        </w:tc>
        <w:tc>
          <w:tcPr>
            <w:tcW w:w="94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Deels</w:t>
            </w:r>
          </w:p>
        </w:tc>
        <w:tc>
          <w:tcPr>
            <w:tcW w:w="115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Nee</w:t>
            </w:r>
          </w:p>
        </w:tc>
        <w:tc>
          <w:tcPr>
            <w:tcW w:w="295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Met welke partij is gesproken, en staat dat ergens?</w:t>
            </w:r>
          </w:p>
        </w:tc>
        <w:tc>
          <w:tcPr>
            <w:tcW w:w="2635" w:type="dxa"/>
            <w:tcBorders>
              <w:left w:val="single" w:sz="2" w:space="0" w:color="808080"/>
              <w:bottom w:val="single" w:sz="6" w:space="0" w:color="808080"/>
              <w:right w:val="single" w:sz="6" w:space="0" w:color="808080"/>
            </w:tcBorders>
            <w:shd w:fill="FFF6E0" w:val="clear"/>
            <w:vAlign w:val="center"/>
          </w:tcPr>
          <w:p>
            <w:pPr>
              <w:pStyle w:val="TableContents"/>
              <w:widowControl w:val="false"/>
              <w:suppressLineNumbers/>
              <w:bidi w:val="0"/>
              <w:jc w:val="left"/>
              <w:rPr/>
            </w:pPr>
            <w:r>
              <w:rPr/>
              <w:t>…</w:t>
            </w:r>
          </w:p>
        </w:tc>
      </w:tr>
    </w:tbl>
    <w:p>
      <w:pPr>
        <w:pStyle w:val="Heading2"/>
        <w:bidi w:val="0"/>
        <w:jc w:val="left"/>
        <w:rPr/>
      </w:pPr>
      <w:r>
        <w:rPr/>
        <w:t>6. Vragen voor leveranciers en aandachtspunten voor inkoop</w:t>
      </w:r>
    </w:p>
    <w:p>
      <w:pPr>
        <w:pStyle w:val="Heading3"/>
        <w:bidi w:val="0"/>
        <w:jc w:val="left"/>
        <w:rPr/>
      </w:pPr>
      <w:r>
        <w:rPr/>
        <w:t>Vragen voor Microsoft, over Microsoft 365 en Azure</w:t>
      </w:r>
    </w:p>
    <w:p>
      <w:pPr>
        <w:pStyle w:val="BodyText"/>
        <w:numPr>
          <w:ilvl w:val="0"/>
          <w:numId w:val="5"/>
        </w:numPr>
        <w:tabs>
          <w:tab w:val="clear" w:pos="709"/>
          <w:tab w:val="left" w:pos="709" w:leader="none"/>
        </w:tabs>
        <w:bidi w:val="0"/>
        <w:spacing w:before="0" w:after="0"/>
        <w:ind w:hanging="283" w:left="709"/>
        <w:jc w:val="left"/>
        <w:rPr/>
      </w:pPr>
      <w:r>
        <w:rPr/>
        <w:t xml:space="preserve">Wanneer lopen onze overeenkomsten af, wat is de opzegtermijn en verlengen ze automatisch? </w:t>
      </w:r>
    </w:p>
    <w:p>
      <w:pPr>
        <w:pStyle w:val="BodyText"/>
        <w:numPr>
          <w:ilvl w:val="0"/>
          <w:numId w:val="5"/>
        </w:numPr>
        <w:tabs>
          <w:tab w:val="clear" w:pos="709"/>
          <w:tab w:val="left" w:pos="709" w:leader="none"/>
        </w:tabs>
        <w:bidi w:val="0"/>
        <w:spacing w:before="0" w:after="0"/>
        <w:ind w:hanging="283" w:left="709"/>
        <w:jc w:val="left"/>
        <w:rPr/>
      </w:pPr>
      <w:r>
        <w:rPr/>
        <w:t xml:space="preserve">Welke gegevens en configuraties kunnen we bij een overstap exporteren, in welk formaat en binnen welke termijn? </w:t>
      </w:r>
    </w:p>
    <w:p>
      <w:pPr>
        <w:pStyle w:val="BodyText"/>
        <w:numPr>
          <w:ilvl w:val="0"/>
          <w:numId w:val="5"/>
        </w:numPr>
        <w:tabs>
          <w:tab w:val="clear" w:pos="709"/>
          <w:tab w:val="left" w:pos="709" w:leader="none"/>
        </w:tabs>
        <w:bidi w:val="0"/>
        <w:spacing w:before="0" w:after="0"/>
        <w:ind w:hanging="283" w:left="709"/>
        <w:jc w:val="left"/>
        <w:rPr/>
      </w:pPr>
      <w:r>
        <w:rPr/>
        <w:t xml:space="preserve">Welke kosten rekent u tot 12 januari 2027 voor een overstap, en hoe zijn die opgebouwd? </w:t>
      </w:r>
    </w:p>
    <w:p>
      <w:pPr>
        <w:pStyle w:val="BodyText"/>
        <w:numPr>
          <w:ilvl w:val="0"/>
          <w:numId w:val="5"/>
        </w:numPr>
        <w:tabs>
          <w:tab w:val="clear" w:pos="709"/>
          <w:tab w:val="left" w:pos="709" w:leader="none"/>
        </w:tabs>
        <w:bidi w:val="0"/>
        <w:ind w:hanging="283" w:left="709"/>
        <w:jc w:val="left"/>
        <w:rPr/>
      </w:pPr>
      <w:r>
        <w:rPr/>
        <w:t xml:space="preserve">Wat gebeurt er na beëindiging met onze gegevens, en hoe lang bewaart u ze? </w:t>
      </w:r>
    </w:p>
    <w:p>
      <w:pPr>
        <w:pStyle w:val="Heading3"/>
        <w:bidi w:val="0"/>
        <w:jc w:val="left"/>
        <w:rPr/>
      </w:pPr>
      <w:r>
        <w:rPr/>
        <w:t>Vragen voor de hostingpartij van het zaaksysteem</w:t>
      </w:r>
    </w:p>
    <w:p>
      <w:pPr>
        <w:pStyle w:val="BodyText"/>
        <w:numPr>
          <w:ilvl w:val="0"/>
          <w:numId w:val="6"/>
        </w:numPr>
        <w:tabs>
          <w:tab w:val="clear" w:pos="709"/>
          <w:tab w:val="left" w:pos="709" w:leader="none"/>
        </w:tabs>
        <w:bidi w:val="0"/>
        <w:spacing w:before="0" w:after="0"/>
        <w:ind w:hanging="283" w:left="709"/>
        <w:jc w:val="left"/>
        <w:rPr/>
      </w:pPr>
      <w:r>
        <w:rPr/>
        <w:t xml:space="preserve">Wanneer loopt het hostingcontract af, en wat is de opzegtermijn? </w:t>
      </w:r>
    </w:p>
    <w:p>
      <w:pPr>
        <w:pStyle w:val="BodyText"/>
        <w:numPr>
          <w:ilvl w:val="0"/>
          <w:numId w:val="6"/>
        </w:numPr>
        <w:tabs>
          <w:tab w:val="clear" w:pos="709"/>
          <w:tab w:val="left" w:pos="709" w:leader="none"/>
        </w:tabs>
        <w:bidi w:val="0"/>
        <w:spacing w:before="0" w:after="0"/>
        <w:ind w:hanging="283" w:left="709"/>
        <w:jc w:val="left"/>
        <w:rPr/>
      </w:pPr>
      <w:r>
        <w:rPr/>
        <w:t xml:space="preserve">Hoe verloopt een overdracht aan een andere hostingpartij, en wat levert u daarbij op? </w:t>
      </w:r>
    </w:p>
    <w:p>
      <w:pPr>
        <w:pStyle w:val="BodyText"/>
        <w:numPr>
          <w:ilvl w:val="0"/>
          <w:numId w:val="6"/>
        </w:numPr>
        <w:tabs>
          <w:tab w:val="clear" w:pos="709"/>
          <w:tab w:val="left" w:pos="709" w:leader="none"/>
        </w:tabs>
        <w:bidi w:val="0"/>
        <w:ind w:hanging="283" w:left="709"/>
        <w:jc w:val="left"/>
        <w:rPr/>
      </w:pPr>
      <w:r>
        <w:rPr/>
        <w:t xml:space="preserve">Welke hersteltijd geldt bij uitval, en wat gebeurt er bij uw faillissement? </w:t>
      </w:r>
    </w:p>
    <w:p>
      <w:pPr>
        <w:pStyle w:val="Heading3"/>
        <w:bidi w:val="0"/>
        <w:jc w:val="left"/>
        <w:rPr/>
      </w:pPr>
      <w:r>
        <w:rPr/>
        <w:t>Aandachtspunten voor een verlenging of nieuwe uitvraag</w:t>
      </w:r>
    </w:p>
    <w:p>
      <w:pPr>
        <w:pStyle w:val="BodyText"/>
        <w:bidi w:val="0"/>
        <w:jc w:val="left"/>
        <w:rPr/>
      </w:pPr>
      <w:r>
        <w:rPr/>
        <w:t>Niet juridisch gevalideerd en niet zonder toetsing bruikbaar als contracttekst.</w:t>
      </w:r>
    </w:p>
    <w:tbl>
      <w:tblPr>
        <w:tblW w:w="5000" w:type="pct"/>
        <w:jc w:val="left"/>
        <w:tblInd w:w="60" w:type="dxa"/>
        <w:tblLayout w:type="fixed"/>
        <w:tblCellMar>
          <w:top w:w="60" w:type="dxa"/>
          <w:left w:w="60" w:type="dxa"/>
          <w:bottom w:w="60" w:type="dxa"/>
          <w:right w:w="60" w:type="dxa"/>
        </w:tblCellMar>
      </w:tblPr>
      <w:tblGrid>
        <w:gridCol w:w="2107"/>
        <w:gridCol w:w="4848"/>
        <w:gridCol w:w="3583"/>
      </w:tblGrid>
      <w:tr>
        <w:trPr/>
        <w:tc>
          <w:tcPr>
            <w:tcW w:w="2107" w:type="dxa"/>
            <w:tcBorders>
              <w:top w:val="single" w:sz="6" w:space="0" w:color="808080"/>
              <w:left w:val="single" w:sz="6" w:space="0" w:color="808080"/>
              <w:bottom w:val="single" w:sz="2" w:space="0" w:color="808080"/>
              <w:right w:val="single" w:sz="6" w:space="0" w:color="808080"/>
            </w:tcBorders>
            <w:shd w:fill="E8E3D6" w:val="clear"/>
            <w:vAlign w:val="center"/>
          </w:tcPr>
          <w:p>
            <w:pPr>
              <w:pStyle w:val="TableHeading"/>
              <w:suppressLineNumbers/>
              <w:bidi w:val="0"/>
              <w:jc w:val="left"/>
              <w:rPr/>
            </w:pPr>
            <w:r>
              <w:rPr/>
              <w:t>Afspraak</w:t>
            </w:r>
          </w:p>
        </w:tc>
        <w:tc>
          <w:tcPr>
            <w:tcW w:w="4848"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Voorstel</w:t>
            </w:r>
          </w:p>
        </w:tc>
        <w:tc>
          <w:tcPr>
            <w:tcW w:w="3583" w:type="dxa"/>
            <w:tcBorders>
              <w:top w:val="single" w:sz="6" w:space="0" w:color="808080"/>
              <w:left w:val="single" w:sz="2" w:space="0" w:color="808080"/>
              <w:bottom w:val="single" w:sz="2" w:space="0" w:color="808080"/>
              <w:right w:val="single" w:sz="6" w:space="0" w:color="808080"/>
            </w:tcBorders>
            <w:shd w:fill="E8E3D6" w:val="clear"/>
            <w:vAlign w:val="center"/>
          </w:tcPr>
          <w:p>
            <w:pPr>
              <w:pStyle w:val="TableHeading"/>
              <w:suppressLineNumbers/>
              <w:bidi w:val="0"/>
              <w:jc w:val="left"/>
              <w:rPr/>
            </w:pPr>
            <w:r>
              <w:rPr/>
              <w:t>Basis</w:t>
            </w:r>
          </w:p>
        </w:tc>
      </w:tr>
      <w:tr>
        <w:trPr/>
        <w:tc>
          <w:tcPr>
            <w:tcW w:w="210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Overstaptermijnen</w:t>
            </w:r>
          </w:p>
        </w:tc>
        <w:tc>
          <w:tcPr>
            <w:tcW w:w="484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Opzegtermijn van hooguit twee maanden. Na opzegging rondt de leverancier de overstap binnen dertig dagen af, tenzij dat technisch aantoonbaar onmogelijk is.</w:t>
            </w:r>
          </w:p>
        </w:tc>
        <w:tc>
          <w:tcPr>
            <w:tcW w:w="3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Volgt uit: Data Act, art. 25 (clouddiensten)</w:t>
            </w:r>
          </w:p>
        </w:tc>
      </w:tr>
      <w:tr>
        <w:trPr/>
        <w:tc>
          <w:tcPr>
            <w:tcW w:w="210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Exporteerbare gegevens</w:t>
            </w:r>
          </w:p>
        </w:tc>
        <w:tc>
          <w:tcPr>
            <w:tcW w:w="484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Het contract beschrijft welke categorieën gegevens en digitale activa bij een overstap mee kunnen. Bij export in een gestructureerd, algemeen gebruikt en machineleesbaar formaat.</w:t>
            </w:r>
          </w:p>
        </w:tc>
        <w:tc>
          <w:tcPr>
            <w:tcW w:w="3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Volgt uit: Data Act, art. 25 lid 2 en art. 30 lid 5 (clouddiensten)</w:t>
            </w:r>
          </w:p>
        </w:tc>
      </w:tr>
      <w:tr>
        <w:trPr/>
        <w:tc>
          <w:tcPr>
            <w:tcW w:w="210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Geen overstapkosten</w:t>
            </w:r>
          </w:p>
        </w:tc>
        <w:tc>
          <w:tcPr>
            <w:tcW w:w="484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Geen kosten voor het overstappen. Tot 12 januari 2027 hooguit de directe kosten, zonder marge.</w:t>
            </w:r>
          </w:p>
        </w:tc>
        <w:tc>
          <w:tcPr>
            <w:tcW w:w="3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Volgt uit: Data Act, art. 29 (clouddiensten)</w:t>
            </w:r>
          </w:p>
        </w:tc>
      </w:tr>
      <w:tr>
        <w:trPr/>
        <w:tc>
          <w:tcPr>
            <w:tcW w:w="210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Faillissement of overname</w:t>
            </w:r>
          </w:p>
        </w:tc>
        <w:tc>
          <w:tcPr>
            <w:tcW w:w="484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Binnen tien werkdagen een volledige export, en toegang tot de dienst tijdens de overgang. Broncode-escrow voor maatwerk.</w:t>
            </w:r>
          </w:p>
        </w:tc>
        <w:tc>
          <w:tcPr>
            <w:tcW w:w="3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Eigen voorstel. Aanknopingspunt: de RDI adviseert afspraken over gegevens en middelen bij contracteinde, faillissement of overname. Termijn en escrow volgen niet uit de wet.</w:t>
            </w:r>
          </w:p>
        </w:tc>
      </w:tr>
      <w:tr>
        <w:trPr/>
        <w:tc>
          <w:tcPr>
            <w:tcW w:w="2107"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Open standaarden en open source</w:t>
            </w:r>
          </w:p>
        </w:tc>
        <w:tc>
          <w:tcPr>
            <w:tcW w:w="484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Open standaarden van de lijst 'pas toe of leg uit'. Bij gelijke geschiktheid voorkeur voor open source, en maatwerk onder een open licentie.</w:t>
            </w:r>
          </w:p>
        </w:tc>
        <w:tc>
          <w:tcPr>
            <w:tcW w:w="3583"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Eigen voorstel. Aanknopingspunt: lijst 'pas toe of leg uit', Forum Standaardisatie.</w:t>
            </w:r>
          </w:p>
        </w:tc>
      </w:tr>
    </w:tbl>
    <w:p>
      <w:pPr>
        <w:pStyle w:val="BodyTextklein"/>
        <w:bidi w:val="0"/>
        <w:spacing w:before="0" w:after="120"/>
        <w:jc w:val="left"/>
        <w:rPr/>
      </w:pPr>
      <w:r>
        <w:rPr/>
        <w:t>Opgesteld door Will Switch, praktijkonderzoek naar digitale autonomie in de publieke sector. Automatisch gemaakt uit de scan en de aanvullende vragenlijst; niets is gecontroleerd. Dit werkdocument is input voor de eigen risicoanalyse van de organisatie. Het is geen oordeel over naleving van de Cyberbeveiligingswet, de Data Act of andere regels, en geen juridisch advies.</w:t>
      </w:r>
    </w:p>
    <w:sectPr>
      <w:type w:val="nextPage"/>
      <w:pgSz w:w="12240" w:h="15840"/>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auto"/>
    <w:pitch w:val="default"/>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7">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Arial;Helvetica;sans-serif" w:hAnsi="Arial;Helvetica;sans-serif" w:eastAsia="Arial;Helvetica;sans-serif" w:cs="Arial;Helvetica;sans-serif"/>
      <w:color w:val="1A1612"/>
      <w:sz w:val="20"/>
      <w:szCs w:val="20"/>
      <w:lang w:val="en-US" w:eastAsia="zh-CN" w:bidi="hi-IN"/>
    </w:rPr>
  </w:style>
  <w:style w:type="paragraph" w:styleId="Heading1">
    <w:name w:val="heading 1"/>
    <w:basedOn w:val="Heading"/>
    <w:next w:val="BodyText"/>
    <w:qFormat/>
    <w:pPr>
      <w:spacing w:before="240" w:after="120"/>
      <w:outlineLvl w:val="0"/>
    </w:pPr>
    <w:rPr>
      <w:rFonts w:ascii="Arial;Helvetica;sans-serif" w:hAnsi="Arial;Helvetica;sans-serif" w:eastAsia="Arial;Helvetica;sans-serif" w:cs="Arial;Helvetica;sans-serif"/>
      <w:b/>
      <w:bCs/>
      <w:sz w:val="36"/>
      <w:szCs w:val="36"/>
    </w:rPr>
  </w:style>
  <w:style w:type="paragraph" w:styleId="Heading2">
    <w:name w:val="heading 2"/>
    <w:basedOn w:val="Heading"/>
    <w:next w:val="BodyText"/>
    <w:qFormat/>
    <w:pPr>
      <w:spacing w:before="360" w:after="120"/>
      <w:ind w:left="360" w:right="360"/>
      <w:outlineLvl w:val="1"/>
    </w:pPr>
    <w:rPr>
      <w:rFonts w:ascii="Arial;Helvetica;sans-serif" w:hAnsi="Arial;Helvetica;sans-serif" w:eastAsia="Arial;Helvetica;sans-serif" w:cs="Arial;Helvetica;sans-serif"/>
      <w:b/>
      <w:bCs/>
      <w:color w:val="1A1612"/>
      <w:sz w:val="26"/>
      <w:szCs w:val="26"/>
    </w:rPr>
  </w:style>
  <w:style w:type="paragraph" w:styleId="Heading3">
    <w:name w:val="heading 3"/>
    <w:basedOn w:val="Heading"/>
    <w:next w:val="BodyText"/>
    <w:qFormat/>
    <w:pPr>
      <w:spacing w:before="240" w:after="80"/>
      <w:ind w:left="240" w:right="240"/>
      <w:outlineLvl w:val="2"/>
    </w:pPr>
    <w:rPr>
      <w:rFonts w:ascii="Arial;Helvetica;sans-serif" w:hAnsi="Arial;Helvetica;sans-serif" w:eastAsia="Arial;Helvetica;sans-serif" w:cs="Arial;Helvetica;sans-serif"/>
      <w:b/>
      <w:bCs/>
      <w:sz w:val="22"/>
      <w:szCs w:val="22"/>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klein">
    <w:name w:val="Body Text.klein"/>
    <w:basedOn w:val="BodyText"/>
    <w:qFormat/>
    <w:pPr/>
    <w:rPr>
      <w:color w:val="6B645A"/>
      <w:sz w:val="16"/>
      <w:szCs w:val="16"/>
    </w:rPr>
  </w:style>
  <w:style w:type="paragraph" w:styleId="TableContents">
    <w:name w:val="Table Contents"/>
    <w:basedOn w:val="Normal"/>
    <w:qFormat/>
    <w:pPr>
      <w:widowControl w:val="false"/>
      <w:suppressLineNumbers/>
    </w:pPr>
    <w:rPr>
      <w:sz w:val="18"/>
      <w:szCs w:val="18"/>
    </w:rPr>
  </w:style>
  <w:style w:type="paragraph" w:styleId="TableHeading">
    <w:name w:val="Table Heading"/>
    <w:basedOn w:val="TableContents"/>
    <w:qFormat/>
    <w:pPr>
      <w:suppressLineNumbers/>
      <w:jc w:val="left"/>
    </w:pPr>
    <w:rPr>
      <w:b/>
      <w:bCs/>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Werkdocument afhankelijkheid van ICT-leveranciers, Gemeente Ravensmeer (fictief voorbeeld)</dc:title>
</cp:coreProperties>
</file>

<file path=docProps/custom.xml><?xml version="1.0" encoding="utf-8"?>
<Properties xmlns="http://schemas.openxmlformats.org/officeDocument/2006/custom-properties" xmlns:vt="http://schemas.openxmlformats.org/officeDocument/2006/docPropsVTypes"/>
</file>